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E96C15" w:rsidRDefault="00E96C15" w:rsidP="00D3263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15">
        <w:rPr>
          <w:rFonts w:ascii="Times New Roman" w:hAnsi="Times New Roman" w:cs="Times New Roman"/>
          <w:b/>
          <w:sz w:val="28"/>
          <w:szCs w:val="28"/>
        </w:rPr>
        <w:t>Что должны соблюдать частные охранные предприятия при осуществлении деятельности, чтобы не быть привлеченными к административной деятельности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Профессиональные услуги охраны с каждым годом становятся всё более востребованными. Руководители предприятий и граждане заинтересованы в обеспечении безопасности и защите себя, своих близких, бизнеса и имущества.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Охранная деятельность урегулирована Федеральным законом от 11.03.1992 № 2487-1 "О частной детективной и охранной деятельности в Российской Федерации" (далее - Закон об охранной деятельности). В соответствии со статьёй 11 данного Закона для охранной деятельности необходима лицензия.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C15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E96C15">
        <w:rPr>
          <w:rFonts w:ascii="Times New Roman" w:hAnsi="Times New Roman" w:cs="Times New Roman"/>
          <w:sz w:val="28"/>
          <w:szCs w:val="28"/>
        </w:rPr>
        <w:t xml:space="preserve"> 11.2 Закона об охранной деятельности, пункта 2 Положения о лицензировании частной охранной деятельности, утвержденного Постановлением Правительства РФ от 23.06.2011 № 498 (далее - Положение о лицензировании), предоставление лицензий на осуществление частной охранной деятельности производится территориальными органами Федеральной службы войск национальной гвардии Российской Федерации. Лицензия предоставляется юридическим лицам сроком на пять лет и действует на всей территории РФ.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Статья 15.1 Закона об охранной деятельности содержит требования, предъявляемые к частным охранным организациям: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 xml:space="preserve">- такая организация может быть создана только в форме общества с ограниченной ответственностью и не вправе осуществлять иную деятельность, </w:t>
      </w:r>
      <w:proofErr w:type="gramStart"/>
      <w:r w:rsidRPr="00E96C15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96C15">
        <w:rPr>
          <w:rFonts w:ascii="Times New Roman" w:hAnsi="Times New Roman" w:cs="Times New Roman"/>
          <w:sz w:val="28"/>
          <w:szCs w:val="28"/>
        </w:rPr>
        <w:t xml:space="preserve"> охранной;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- уставный капитал не может быть менее ста тысяч рублей;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lastRenderedPageBreak/>
        <w:t>- запрещается внесение в уставный капитал частной охранной организации средств иностранными гражданами, гражданами Российской Федерации, имеющими гражданство иностранного государства, лицами без гражданства, иностранными юридическими лицами, а также организациями, в составе учредителей (участников) которых имеются указанные граждане и лица;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- руководитель частной охранной организации не вправе замещать государственные должности Российской Федерации, государственные должности субъектов Российской Федерации, должности государственной службы, выборные оплачиваемые должности в общественных объединениях, а также вступать в трудовые отношения в качестве работника, за исключением осуществления им научной, преподавательской и иной творческой деятельности и др.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 xml:space="preserve">Частная охранная организация не может являться дочерним обществом организации, осуществляющей иную деятельность, </w:t>
      </w:r>
      <w:proofErr w:type="gramStart"/>
      <w:r w:rsidRPr="00E96C15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E96C15">
        <w:rPr>
          <w:rFonts w:ascii="Times New Roman" w:hAnsi="Times New Roman" w:cs="Times New Roman"/>
          <w:sz w:val="28"/>
          <w:szCs w:val="28"/>
        </w:rPr>
        <w:t xml:space="preserve"> охранной. Для учредителя (участника) частной охранной организации данный вид деятельности должен быть основным.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объединениях. Работником частной охранной организации не может быть учредитель (участник), руководитель либо иное должностное лицо организации, с которой данной частной охранной организацией заключен договор на оказание охранных услуг.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 xml:space="preserve">В случае оказания охранных услуг с использованием видеонаблюдения, а также оказания охранных услуг в виде обеспечения </w:t>
      </w:r>
      <w:proofErr w:type="spellStart"/>
      <w:r w:rsidRPr="00E96C1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E96C15">
        <w:rPr>
          <w:rFonts w:ascii="Times New Roman" w:hAnsi="Times New Roman" w:cs="Times New Roman"/>
          <w:sz w:val="28"/>
          <w:szCs w:val="28"/>
        </w:rPr>
        <w:t xml:space="preserve"> и (или)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местах, обеспечивающих гарантированную видимость в дневное и ночное время, до входа на охраняемую территорию. Такая информация должна содержать сведения об условиях </w:t>
      </w:r>
      <w:proofErr w:type="spellStart"/>
      <w:r w:rsidRPr="00E96C1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E96C15">
        <w:rPr>
          <w:rFonts w:ascii="Times New Roman" w:hAnsi="Times New Roman" w:cs="Times New Roman"/>
          <w:sz w:val="28"/>
          <w:szCs w:val="28"/>
        </w:rPr>
        <w:t xml:space="preserve"> и пропускного режимов.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Обязательным требованием является наличие у работников частной охранной организации, осуществляющих охранные услуги, личной карточки охранника, выданной федеральным органом исполнительной власти, уполномоченным в сфере частной охранной деятельности, или его территориальным органом в порядке, установленном федеральным органом исполнительной власти, уполномоченным в сфере частной охранной деятельности.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Законодатель определяет ряд нарушений, которые относятся к грубым нарушениям лицензионных требований при осуществлении охранной деятельности: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а) охрана объектов, предусмотренных Федеральным законом от 27.05.1996 № 57-ФЗ "О государственной охране", а также иных объектов, на которые в соответствии с законодательством Российской Федерации охранная деятельность не распространяется;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б) нарушение частной охранной организацией правил оборота оружия и (или) специальных средств, установленных законодательством Российской Федерации, при наличии в частной охранной организации оружия и (или) специальных сре</w:t>
      </w:r>
      <w:proofErr w:type="gramStart"/>
      <w:r w:rsidRPr="00E96C1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96C15">
        <w:rPr>
          <w:rFonts w:ascii="Times New Roman" w:hAnsi="Times New Roman" w:cs="Times New Roman"/>
          <w:sz w:val="28"/>
          <w:szCs w:val="28"/>
        </w:rPr>
        <w:t>и осуществлении услуг, предусмотренных частью третьей статьи 3 Закона об охранной деятельности;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в) неиспользование работниками частной охранной организации средств пассивной защиты (жилетов и шлемов защитных) при осуществлении охраны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принятием соответствующих мер реагирования на их сигнальную информацию;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 xml:space="preserve">г) иные нарушения, повлекшие за собой возникновение угрозы причинения вреда жизни, здоровью граждан, вреда животным, растениям, окружающей </w:t>
      </w:r>
      <w:r w:rsidRPr="00E96C15">
        <w:rPr>
          <w:rFonts w:ascii="Times New Roman" w:hAnsi="Times New Roman" w:cs="Times New Roman"/>
          <w:sz w:val="28"/>
          <w:szCs w:val="28"/>
        </w:rPr>
        <w:lastRenderedPageBreak/>
        <w:t>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(далее – КоАП РФ) предусматривает ответственность частных охранных организаций за нарушение лицензионных требований.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В соответствии с частью 3 статьи 14.1 КоАП РФ осуществление предпринимательской деятельности с нарушением требований и условий, предусмотренных специальным разрешением (лицензией), влечет предупреждение или наложение административного штрафа на юридических лиц - от тридцати тысяч до сорока тысяч рублей.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В соответствии с частью 4 статьи 14.1 КоАП РФ осуществление предпринимательской деятельности с грубым нарушением требований и условий, предусмотренных специальным разрешением (лицензией), влечет наложение административного штрафа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E96C15" w:rsidRPr="00E96C15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63F" w:rsidRDefault="00E96C15" w:rsidP="00E96C15">
      <w:pPr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С учетом изложенного, обращаем внимание на обязательное соблюдение требований лицензионного законодательства при осуществлении охранной деятельности.</w:t>
      </w:r>
    </w:p>
    <w:p w:rsidR="00E96C15" w:rsidRDefault="00E96C15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2021-09-25T14:22:00Z</dcterms:created>
  <dcterms:modified xsi:type="dcterms:W3CDTF">2021-09-25T14:37:00Z</dcterms:modified>
</cp:coreProperties>
</file>