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88" w:rsidRPr="002D7088" w:rsidRDefault="002D7088" w:rsidP="002D70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7088">
        <w:rPr>
          <w:rFonts w:ascii="Times New Roman" w:hAnsi="Times New Roman" w:cs="Times New Roman"/>
          <w:b/>
          <w:sz w:val="28"/>
          <w:szCs w:val="28"/>
        </w:rPr>
        <w:t>Расширена административная ответственность за нарушение законодательства об энергосбережении</w:t>
      </w:r>
    </w:p>
    <w:bookmarkEnd w:id="0"/>
    <w:p w:rsidR="002D7088" w:rsidRDefault="002D708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С 1 января 2024 года вступили в силу изменения, внесенные в статью 9.16 Кодекса Российской Федерации об административных правонарушениях Федеральным законом от 6 марта 2022 года № 40-ФЗ.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Теперь за невыполнение гарантирующими поставщиками электрической энергии или сетевыми организациями обязанности по приобретению, установке, замене, допуске в эксплуатацию счетчиков электроэнергии предусмотрена административная ответственность.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Указанное правонарушение влечет наложение административного штрафа на должностных лиц в размере от 20 тыс. до 30 тыс. рублей; на юридических лиц - от 50 тыс. до 100 тыс. рублей.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данной категории рассматривают: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- Федеральная антимонопольная служба Российской Федерации, ее территориальные органы (за исключением коллективных (общедомовых), индивидуальных и общих (для коммунальных квартир) приборов учета электроэнергии в многоквартирных домах, жилых домах);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088">
        <w:rPr>
          <w:rFonts w:ascii="Times New Roman" w:hAnsi="Times New Roman" w:cs="Times New Roman"/>
          <w:sz w:val="28"/>
          <w:szCs w:val="28"/>
        </w:rPr>
        <w:t>- органы исполнительной власти субъектов Российской Федерации, осуществляющие региональный государственный жилищный надзор (в части коллективных (общедомовых), индивидуальных и общих (для коммунальных квартир) приборов учета электрической энергии в многоквартирных домах, жилых домах).</w:t>
      </w:r>
      <w:proofErr w:type="gramEnd"/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Кроме того, в случае нарушения гарантирующим поставщиком или сетевой организацией обязанностей по установке, замене и допуску к эксплуатации прибора учета электроэнергии стоимость коммунальной услуги по электроснабжению для потребителя будет снижена на 7%.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088">
        <w:rPr>
          <w:rFonts w:ascii="Times New Roman" w:hAnsi="Times New Roman" w:cs="Times New Roman"/>
          <w:sz w:val="28"/>
          <w:szCs w:val="28"/>
        </w:rPr>
        <w:t>Снижение предусмотрено за каждый месяц с месяца получения претензии от потребителя, направленной не ранее истечения установленных сроков, до даты допуска прибора учета электроэнергии к эксплуатации.</w:t>
      </w:r>
    </w:p>
    <w:p w:rsidR="002D7088" w:rsidRPr="002D7088" w:rsidRDefault="002D7088" w:rsidP="002D70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088">
        <w:rPr>
          <w:rFonts w:ascii="Times New Roman" w:hAnsi="Times New Roman" w:cs="Times New Roman"/>
          <w:sz w:val="28"/>
          <w:szCs w:val="28"/>
        </w:rPr>
        <w:t>Начиная с 4-го месяца с месяца получения претензии от потребителя величина снижения стоимости коммунальных услуг по электроснабжению увеличивается в 2</w:t>
      </w:r>
      <w:proofErr w:type="gramEnd"/>
      <w:r w:rsidRPr="002D7088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2D7088" w:rsidRDefault="002D708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88" w:rsidRDefault="002D7088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D708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D178A7"/>
    <w:rsid w:val="00DC6AE9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2024-02-27T07:22:00Z</dcterms:created>
  <dcterms:modified xsi:type="dcterms:W3CDTF">2024-02-27T07:22:00Z</dcterms:modified>
</cp:coreProperties>
</file>