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D3" w:rsidRPr="00602ED3" w:rsidRDefault="00602ED3" w:rsidP="00602ED3">
      <w:pPr>
        <w:pStyle w:val="a3"/>
        <w:shd w:val="clear" w:color="auto" w:fill="FFFFFF"/>
        <w:spacing w:before="0" w:beforeAutospacing="0" w:after="0" w:afterAutospacing="0"/>
        <w:jc w:val="center"/>
        <w:rPr>
          <w:b/>
          <w:color w:val="1A1A1A"/>
          <w:sz w:val="28"/>
          <w:szCs w:val="28"/>
        </w:rPr>
      </w:pPr>
      <w:bookmarkStart w:id="0" w:name="_GoBack"/>
      <w:r w:rsidRPr="00602ED3">
        <w:rPr>
          <w:b/>
          <w:color w:val="1A1A1A"/>
          <w:sz w:val="28"/>
          <w:szCs w:val="28"/>
        </w:rPr>
        <w:t>Досудебное урегулирование экономических споров </w:t>
      </w:r>
    </w:p>
    <w:bookmarkEnd w:id="0"/>
    <w:p w:rsidR="00602ED3" w:rsidRDefault="00602ED3" w:rsidP="003C7CF9">
      <w:pPr>
        <w:pStyle w:val="a3"/>
        <w:shd w:val="clear" w:color="auto" w:fill="FFFFFF"/>
        <w:spacing w:before="0" w:beforeAutospacing="0" w:after="0" w:afterAutospacing="0"/>
        <w:ind w:firstLine="709"/>
        <w:jc w:val="both"/>
        <w:rPr>
          <w:color w:val="1A1A1A"/>
          <w:sz w:val="28"/>
          <w:szCs w:val="28"/>
        </w:rPr>
      </w:pP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Индивидуальные предприниматели и юридические лица в ходе осуществления деятельности нередко сталкиваются с необходимостью разрешения гражданско-правовых (экономических) споров, в том числе путем обращения в арбитражный суд для защиты своих прав и законных интересов.</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Частью 5 статьи 4 Арбитражного процессуального кодекса Российской Федерации установлено, что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только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w:t>
      </w:r>
      <w:proofErr w:type="gramStart"/>
      <w:r w:rsidRPr="00602ED3">
        <w:rPr>
          <w:color w:val="1A1A1A"/>
          <w:sz w:val="28"/>
          <w:szCs w:val="28"/>
        </w:rPr>
        <w:t xml:space="preserve">или) </w:t>
      </w:r>
      <w:proofErr w:type="gramEnd"/>
      <w:r w:rsidRPr="00602ED3">
        <w:rPr>
          <w:color w:val="1A1A1A"/>
          <w:sz w:val="28"/>
          <w:szCs w:val="28"/>
        </w:rPr>
        <w:t>порядок не установлены законом или договором.</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Таким образом, при наличии спора до обращения в арбитражный суд за его разрешением участникам правоотношений необходимо принять меры по его досудебному урегулированию путем направления претензии, содержащей требования по исполнению спорной обязанности, например оплаты задолженности по договору.</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Другие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7" w:history="1">
        <w:r w:rsidRPr="00602ED3">
          <w:rPr>
            <w:color w:val="1A1A1A"/>
            <w:sz w:val="28"/>
            <w:szCs w:val="28"/>
          </w:rPr>
          <w:t>законом</w:t>
        </w:r>
      </w:hyperlink>
      <w:r w:rsidRPr="00602ED3">
        <w:rPr>
          <w:color w:val="1A1A1A"/>
          <w:sz w:val="28"/>
          <w:szCs w:val="28"/>
        </w:rPr>
        <w:t> или договором.</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proofErr w:type="gramStart"/>
      <w:r w:rsidRPr="00602ED3">
        <w:rPr>
          <w:color w:val="1A1A1A"/>
          <w:sz w:val="28"/>
          <w:szCs w:val="28"/>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установлен федеральным законом.</w:t>
      </w:r>
      <w:proofErr w:type="gramEnd"/>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При обращении в арбитражный суд прокурора в защиту публичных интересов с требованиями, предусмотренными </w:t>
      </w:r>
      <w:hyperlink r:id="rId8" w:history="1">
        <w:r w:rsidRPr="00602ED3">
          <w:rPr>
            <w:color w:val="1A1A1A"/>
            <w:sz w:val="28"/>
            <w:szCs w:val="28"/>
          </w:rPr>
          <w:t>ч. 1 ст. 52</w:t>
        </w:r>
      </w:hyperlink>
      <w:r w:rsidRPr="00602ED3">
        <w:rPr>
          <w:color w:val="1A1A1A"/>
          <w:sz w:val="28"/>
          <w:szCs w:val="28"/>
        </w:rPr>
        <w:t> Арбитражного процессуального кодекса Российской Федерации, обязанность по досудебному урегулированию спора отсутствует, поскольку прокурор в данном случае не выступает в качестве участника материально-правовых отношений.</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Течение срока исковой давности приостанавливается, если стороны прибегли к несудебной процедуре разрешения спора, обращение к которой предусмотрено законом, в том числе к обязательному претензионному порядку. Таким образом, указанный период времени не засчитывается в срок исковой давности (</w:t>
      </w:r>
      <w:hyperlink r:id="rId9" w:history="1">
        <w:r w:rsidRPr="00602ED3">
          <w:rPr>
            <w:color w:val="1A1A1A"/>
            <w:sz w:val="28"/>
            <w:szCs w:val="28"/>
          </w:rPr>
          <w:t>п. 16</w:t>
        </w:r>
      </w:hyperlink>
      <w:r w:rsidRPr="00602ED3">
        <w:rPr>
          <w:color w:val="1A1A1A"/>
          <w:sz w:val="28"/>
          <w:szCs w:val="28"/>
        </w:rPr>
        <w:t>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w:t>
      </w:r>
    </w:p>
    <w:p w:rsidR="00602ED3" w:rsidRPr="00602ED3" w:rsidRDefault="00602ED3" w:rsidP="00602ED3">
      <w:pPr>
        <w:pStyle w:val="a3"/>
        <w:shd w:val="clear" w:color="auto" w:fill="FFFFFF"/>
        <w:spacing w:before="0" w:beforeAutospacing="0" w:after="0" w:afterAutospacing="0"/>
        <w:ind w:firstLine="709"/>
        <w:jc w:val="both"/>
        <w:rPr>
          <w:color w:val="1A1A1A"/>
          <w:sz w:val="28"/>
          <w:szCs w:val="28"/>
        </w:rPr>
      </w:pPr>
      <w:r w:rsidRPr="00602ED3">
        <w:rPr>
          <w:color w:val="1A1A1A"/>
          <w:sz w:val="28"/>
          <w:szCs w:val="28"/>
        </w:rPr>
        <w:t xml:space="preserve">Следует иметь </w:t>
      </w:r>
      <w:proofErr w:type="gramStart"/>
      <w:r w:rsidRPr="00602ED3">
        <w:rPr>
          <w:color w:val="1A1A1A"/>
          <w:sz w:val="28"/>
          <w:szCs w:val="28"/>
        </w:rPr>
        <w:t>ввиду</w:t>
      </w:r>
      <w:proofErr w:type="gramEnd"/>
      <w:r w:rsidRPr="00602ED3">
        <w:rPr>
          <w:color w:val="1A1A1A"/>
          <w:sz w:val="28"/>
          <w:szCs w:val="28"/>
        </w:rPr>
        <w:t xml:space="preserve">, что </w:t>
      </w:r>
      <w:proofErr w:type="gramStart"/>
      <w:r w:rsidRPr="00602ED3">
        <w:rPr>
          <w:color w:val="1A1A1A"/>
          <w:sz w:val="28"/>
          <w:szCs w:val="28"/>
        </w:rPr>
        <w:t>досудебный</w:t>
      </w:r>
      <w:proofErr w:type="gramEnd"/>
      <w:r w:rsidRPr="00602ED3">
        <w:rPr>
          <w:color w:val="1A1A1A"/>
          <w:sz w:val="28"/>
          <w:szCs w:val="28"/>
        </w:rPr>
        <w:t xml:space="preserve"> порядок урегулирования экономических споров ведет к более быстрому и взаимовыгодному разрешению возникших разногласий и представляет собой взаимные </w:t>
      </w:r>
      <w:r w:rsidRPr="00602ED3">
        <w:rPr>
          <w:color w:val="1A1A1A"/>
          <w:sz w:val="28"/>
          <w:szCs w:val="28"/>
        </w:rPr>
        <w:lastRenderedPageBreak/>
        <w:t>действия сторон материального правоотношения, направленные на их самостоятельное разрешение.</w:t>
      </w:r>
    </w:p>
    <w:p w:rsidR="00602ED3" w:rsidRDefault="00602ED3" w:rsidP="00D449EC">
      <w:pPr>
        <w:pStyle w:val="a3"/>
        <w:shd w:val="clear" w:color="auto" w:fill="FFFFFF"/>
        <w:spacing w:before="0" w:beforeAutospacing="0" w:after="0" w:afterAutospacing="0"/>
        <w:ind w:firstLine="709"/>
        <w:jc w:val="both"/>
        <w:rPr>
          <w:color w:val="1A1A1A"/>
          <w:sz w:val="28"/>
          <w:szCs w:val="28"/>
        </w:rPr>
      </w:pPr>
    </w:p>
    <w:p w:rsidR="00602ED3" w:rsidRDefault="00602ED3" w:rsidP="00D449EC">
      <w:pPr>
        <w:pStyle w:val="a3"/>
        <w:shd w:val="clear" w:color="auto" w:fill="FFFFFF"/>
        <w:spacing w:before="0" w:beforeAutospacing="0" w:after="0" w:afterAutospacing="0"/>
        <w:ind w:firstLine="709"/>
        <w:jc w:val="both"/>
        <w:rPr>
          <w:color w:val="1A1A1A"/>
          <w:sz w:val="28"/>
          <w:szCs w:val="28"/>
        </w:rPr>
      </w:pPr>
    </w:p>
    <w:p w:rsidR="00E40DB0" w:rsidRPr="003D3DED" w:rsidRDefault="00E40DB0" w:rsidP="003D3DED">
      <w:pPr>
        <w:jc w:val="both"/>
        <w:rPr>
          <w:sz w:val="28"/>
          <w:szCs w:val="28"/>
        </w:rPr>
      </w:pPr>
    </w:p>
    <w:sectPr w:rsidR="00E40DB0" w:rsidRPr="003D3D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6E" w:rsidRDefault="0047086E" w:rsidP="003C7CF9">
      <w:r>
        <w:separator/>
      </w:r>
    </w:p>
  </w:endnote>
  <w:endnote w:type="continuationSeparator" w:id="0">
    <w:p w:rsidR="0047086E" w:rsidRDefault="0047086E" w:rsidP="003C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6E" w:rsidRDefault="0047086E" w:rsidP="003C7CF9">
      <w:r>
        <w:separator/>
      </w:r>
    </w:p>
  </w:footnote>
  <w:footnote w:type="continuationSeparator" w:id="0">
    <w:p w:rsidR="0047086E" w:rsidRDefault="0047086E" w:rsidP="003C7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ED"/>
    <w:rsid w:val="00127F32"/>
    <w:rsid w:val="002573A4"/>
    <w:rsid w:val="002C5ED8"/>
    <w:rsid w:val="003C7CF9"/>
    <w:rsid w:val="003D3DED"/>
    <w:rsid w:val="0047086E"/>
    <w:rsid w:val="004C4B2E"/>
    <w:rsid w:val="004E2FBE"/>
    <w:rsid w:val="00602ED3"/>
    <w:rsid w:val="006317F2"/>
    <w:rsid w:val="007B484E"/>
    <w:rsid w:val="00826BAA"/>
    <w:rsid w:val="00A80675"/>
    <w:rsid w:val="00C218D5"/>
    <w:rsid w:val="00D449EC"/>
    <w:rsid w:val="00D825DF"/>
    <w:rsid w:val="00E40DB0"/>
    <w:rsid w:val="00ED1368"/>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 w:type="paragraph" w:styleId="a6">
    <w:name w:val="header"/>
    <w:basedOn w:val="a"/>
    <w:link w:val="a7"/>
    <w:rsid w:val="003C7CF9"/>
    <w:pPr>
      <w:tabs>
        <w:tab w:val="center" w:pos="4677"/>
        <w:tab w:val="right" w:pos="9355"/>
      </w:tabs>
    </w:pPr>
  </w:style>
  <w:style w:type="character" w:customStyle="1" w:styleId="a7">
    <w:name w:val="Верхний колонтитул Знак"/>
    <w:basedOn w:val="a0"/>
    <w:link w:val="a6"/>
    <w:rsid w:val="003C7CF9"/>
    <w:rPr>
      <w:sz w:val="24"/>
      <w:szCs w:val="24"/>
    </w:rPr>
  </w:style>
  <w:style w:type="paragraph" w:styleId="a8">
    <w:name w:val="footer"/>
    <w:basedOn w:val="a"/>
    <w:link w:val="a9"/>
    <w:rsid w:val="003C7CF9"/>
    <w:pPr>
      <w:tabs>
        <w:tab w:val="center" w:pos="4677"/>
        <w:tab w:val="right" w:pos="9355"/>
      </w:tabs>
    </w:pPr>
  </w:style>
  <w:style w:type="character" w:customStyle="1" w:styleId="a9">
    <w:name w:val="Нижний колонтитул Знак"/>
    <w:basedOn w:val="a0"/>
    <w:link w:val="a8"/>
    <w:rsid w:val="003C7C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DED"/>
    <w:pPr>
      <w:spacing w:before="100" w:beforeAutospacing="1" w:after="100" w:afterAutospacing="1"/>
    </w:pPr>
  </w:style>
  <w:style w:type="character" w:styleId="a4">
    <w:name w:val="Strong"/>
    <w:basedOn w:val="a0"/>
    <w:uiPriority w:val="22"/>
    <w:qFormat/>
    <w:rsid w:val="00E40DB0"/>
    <w:rPr>
      <w:b/>
      <w:bCs/>
    </w:rPr>
  </w:style>
  <w:style w:type="character" w:styleId="a5">
    <w:name w:val="Hyperlink"/>
    <w:basedOn w:val="a0"/>
    <w:uiPriority w:val="99"/>
    <w:unhideWhenUsed/>
    <w:rsid w:val="00E40DB0"/>
    <w:rPr>
      <w:color w:val="0000FF"/>
      <w:u w:val="single"/>
    </w:rPr>
  </w:style>
  <w:style w:type="paragraph" w:styleId="a6">
    <w:name w:val="header"/>
    <w:basedOn w:val="a"/>
    <w:link w:val="a7"/>
    <w:rsid w:val="003C7CF9"/>
    <w:pPr>
      <w:tabs>
        <w:tab w:val="center" w:pos="4677"/>
        <w:tab w:val="right" w:pos="9355"/>
      </w:tabs>
    </w:pPr>
  </w:style>
  <w:style w:type="character" w:customStyle="1" w:styleId="a7">
    <w:name w:val="Верхний колонтитул Знак"/>
    <w:basedOn w:val="a0"/>
    <w:link w:val="a6"/>
    <w:rsid w:val="003C7CF9"/>
    <w:rPr>
      <w:sz w:val="24"/>
      <w:szCs w:val="24"/>
    </w:rPr>
  </w:style>
  <w:style w:type="paragraph" w:styleId="a8">
    <w:name w:val="footer"/>
    <w:basedOn w:val="a"/>
    <w:link w:val="a9"/>
    <w:rsid w:val="003C7CF9"/>
    <w:pPr>
      <w:tabs>
        <w:tab w:val="center" w:pos="4677"/>
        <w:tab w:val="right" w:pos="9355"/>
      </w:tabs>
    </w:pPr>
  </w:style>
  <w:style w:type="character" w:customStyle="1" w:styleId="a9">
    <w:name w:val="Нижний колонтитул Знак"/>
    <w:basedOn w:val="a0"/>
    <w:link w:val="a8"/>
    <w:rsid w:val="003C7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47">
      <w:bodyDiv w:val="1"/>
      <w:marLeft w:val="0"/>
      <w:marRight w:val="0"/>
      <w:marTop w:val="0"/>
      <w:marBottom w:val="0"/>
      <w:divBdr>
        <w:top w:val="none" w:sz="0" w:space="0" w:color="auto"/>
        <w:left w:val="none" w:sz="0" w:space="0" w:color="auto"/>
        <w:bottom w:val="none" w:sz="0" w:space="0" w:color="auto"/>
        <w:right w:val="none" w:sz="0" w:space="0" w:color="auto"/>
      </w:divBdr>
      <w:divsChild>
        <w:div w:id="402216422">
          <w:marLeft w:val="0"/>
          <w:marRight w:val="0"/>
          <w:marTop w:val="0"/>
          <w:marBottom w:val="960"/>
          <w:divBdr>
            <w:top w:val="none" w:sz="0" w:space="0" w:color="auto"/>
            <w:left w:val="none" w:sz="0" w:space="0" w:color="auto"/>
            <w:bottom w:val="none" w:sz="0" w:space="0" w:color="auto"/>
            <w:right w:val="none" w:sz="0" w:space="0" w:color="auto"/>
          </w:divBdr>
        </w:div>
      </w:divsChild>
    </w:div>
    <w:div w:id="139464588">
      <w:bodyDiv w:val="1"/>
      <w:marLeft w:val="0"/>
      <w:marRight w:val="0"/>
      <w:marTop w:val="0"/>
      <w:marBottom w:val="0"/>
      <w:divBdr>
        <w:top w:val="none" w:sz="0" w:space="0" w:color="auto"/>
        <w:left w:val="none" w:sz="0" w:space="0" w:color="auto"/>
        <w:bottom w:val="none" w:sz="0" w:space="0" w:color="auto"/>
        <w:right w:val="none" w:sz="0" w:space="0" w:color="auto"/>
      </w:divBdr>
      <w:divsChild>
        <w:div w:id="1710301857">
          <w:marLeft w:val="0"/>
          <w:marRight w:val="0"/>
          <w:marTop w:val="0"/>
          <w:marBottom w:val="225"/>
          <w:divBdr>
            <w:top w:val="none" w:sz="0" w:space="0" w:color="auto"/>
            <w:left w:val="none" w:sz="0" w:space="0" w:color="auto"/>
            <w:bottom w:val="none" w:sz="0" w:space="0" w:color="auto"/>
            <w:right w:val="none" w:sz="0" w:space="0" w:color="auto"/>
          </w:divBdr>
        </w:div>
      </w:divsChild>
    </w:div>
    <w:div w:id="213273639">
      <w:bodyDiv w:val="1"/>
      <w:marLeft w:val="0"/>
      <w:marRight w:val="0"/>
      <w:marTop w:val="0"/>
      <w:marBottom w:val="0"/>
      <w:divBdr>
        <w:top w:val="none" w:sz="0" w:space="0" w:color="auto"/>
        <w:left w:val="none" w:sz="0" w:space="0" w:color="auto"/>
        <w:bottom w:val="none" w:sz="0" w:space="0" w:color="auto"/>
        <w:right w:val="none" w:sz="0" w:space="0" w:color="auto"/>
      </w:divBdr>
    </w:div>
    <w:div w:id="389160903">
      <w:bodyDiv w:val="1"/>
      <w:marLeft w:val="0"/>
      <w:marRight w:val="0"/>
      <w:marTop w:val="0"/>
      <w:marBottom w:val="0"/>
      <w:divBdr>
        <w:top w:val="none" w:sz="0" w:space="0" w:color="auto"/>
        <w:left w:val="none" w:sz="0" w:space="0" w:color="auto"/>
        <w:bottom w:val="none" w:sz="0" w:space="0" w:color="auto"/>
        <w:right w:val="none" w:sz="0" w:space="0" w:color="auto"/>
      </w:divBdr>
    </w:div>
    <w:div w:id="657535030">
      <w:bodyDiv w:val="1"/>
      <w:marLeft w:val="0"/>
      <w:marRight w:val="0"/>
      <w:marTop w:val="0"/>
      <w:marBottom w:val="0"/>
      <w:divBdr>
        <w:top w:val="none" w:sz="0" w:space="0" w:color="auto"/>
        <w:left w:val="none" w:sz="0" w:space="0" w:color="auto"/>
        <w:bottom w:val="none" w:sz="0" w:space="0" w:color="auto"/>
        <w:right w:val="none" w:sz="0" w:space="0" w:color="auto"/>
      </w:divBdr>
    </w:div>
    <w:div w:id="716708945">
      <w:bodyDiv w:val="1"/>
      <w:marLeft w:val="0"/>
      <w:marRight w:val="0"/>
      <w:marTop w:val="0"/>
      <w:marBottom w:val="0"/>
      <w:divBdr>
        <w:top w:val="none" w:sz="0" w:space="0" w:color="auto"/>
        <w:left w:val="none" w:sz="0" w:space="0" w:color="auto"/>
        <w:bottom w:val="none" w:sz="0" w:space="0" w:color="auto"/>
        <w:right w:val="none" w:sz="0" w:space="0" w:color="auto"/>
      </w:divBdr>
    </w:div>
    <w:div w:id="771975852">
      <w:bodyDiv w:val="1"/>
      <w:marLeft w:val="0"/>
      <w:marRight w:val="0"/>
      <w:marTop w:val="0"/>
      <w:marBottom w:val="0"/>
      <w:divBdr>
        <w:top w:val="none" w:sz="0" w:space="0" w:color="auto"/>
        <w:left w:val="none" w:sz="0" w:space="0" w:color="auto"/>
        <w:bottom w:val="none" w:sz="0" w:space="0" w:color="auto"/>
        <w:right w:val="none" w:sz="0" w:space="0" w:color="auto"/>
      </w:divBdr>
      <w:divsChild>
        <w:div w:id="1325159357">
          <w:marLeft w:val="0"/>
          <w:marRight w:val="0"/>
          <w:marTop w:val="0"/>
          <w:marBottom w:val="960"/>
          <w:divBdr>
            <w:top w:val="none" w:sz="0" w:space="0" w:color="auto"/>
            <w:left w:val="none" w:sz="0" w:space="0" w:color="auto"/>
            <w:bottom w:val="none" w:sz="0" w:space="0" w:color="auto"/>
            <w:right w:val="none" w:sz="0" w:space="0" w:color="auto"/>
          </w:divBdr>
        </w:div>
      </w:divsChild>
    </w:div>
    <w:div w:id="979116015">
      <w:bodyDiv w:val="1"/>
      <w:marLeft w:val="0"/>
      <w:marRight w:val="0"/>
      <w:marTop w:val="0"/>
      <w:marBottom w:val="0"/>
      <w:divBdr>
        <w:top w:val="none" w:sz="0" w:space="0" w:color="auto"/>
        <w:left w:val="none" w:sz="0" w:space="0" w:color="auto"/>
        <w:bottom w:val="none" w:sz="0" w:space="0" w:color="auto"/>
        <w:right w:val="none" w:sz="0" w:space="0" w:color="auto"/>
      </w:divBdr>
      <w:divsChild>
        <w:div w:id="2139637690">
          <w:marLeft w:val="0"/>
          <w:marRight w:val="0"/>
          <w:marTop w:val="0"/>
          <w:marBottom w:val="960"/>
          <w:divBdr>
            <w:top w:val="none" w:sz="0" w:space="0" w:color="auto"/>
            <w:left w:val="none" w:sz="0" w:space="0" w:color="auto"/>
            <w:bottom w:val="none" w:sz="0" w:space="0" w:color="auto"/>
            <w:right w:val="none" w:sz="0" w:space="0" w:color="auto"/>
          </w:divBdr>
        </w:div>
      </w:divsChild>
    </w:div>
    <w:div w:id="996031586">
      <w:bodyDiv w:val="1"/>
      <w:marLeft w:val="0"/>
      <w:marRight w:val="0"/>
      <w:marTop w:val="0"/>
      <w:marBottom w:val="0"/>
      <w:divBdr>
        <w:top w:val="none" w:sz="0" w:space="0" w:color="auto"/>
        <w:left w:val="none" w:sz="0" w:space="0" w:color="auto"/>
        <w:bottom w:val="none" w:sz="0" w:space="0" w:color="auto"/>
        <w:right w:val="none" w:sz="0" w:space="0" w:color="auto"/>
      </w:divBdr>
    </w:div>
    <w:div w:id="999112639">
      <w:bodyDiv w:val="1"/>
      <w:marLeft w:val="0"/>
      <w:marRight w:val="0"/>
      <w:marTop w:val="0"/>
      <w:marBottom w:val="0"/>
      <w:divBdr>
        <w:top w:val="none" w:sz="0" w:space="0" w:color="auto"/>
        <w:left w:val="none" w:sz="0" w:space="0" w:color="auto"/>
        <w:bottom w:val="none" w:sz="0" w:space="0" w:color="auto"/>
        <w:right w:val="none" w:sz="0" w:space="0" w:color="auto"/>
      </w:divBdr>
    </w:div>
    <w:div w:id="1171722042">
      <w:bodyDiv w:val="1"/>
      <w:marLeft w:val="0"/>
      <w:marRight w:val="0"/>
      <w:marTop w:val="0"/>
      <w:marBottom w:val="0"/>
      <w:divBdr>
        <w:top w:val="none" w:sz="0" w:space="0" w:color="auto"/>
        <w:left w:val="none" w:sz="0" w:space="0" w:color="auto"/>
        <w:bottom w:val="none" w:sz="0" w:space="0" w:color="auto"/>
        <w:right w:val="none" w:sz="0" w:space="0" w:color="auto"/>
      </w:divBdr>
      <w:divsChild>
        <w:div w:id="1297178879">
          <w:marLeft w:val="0"/>
          <w:marRight w:val="0"/>
          <w:marTop w:val="0"/>
          <w:marBottom w:val="960"/>
          <w:divBdr>
            <w:top w:val="none" w:sz="0" w:space="0" w:color="auto"/>
            <w:left w:val="none" w:sz="0" w:space="0" w:color="auto"/>
            <w:bottom w:val="none" w:sz="0" w:space="0" w:color="auto"/>
            <w:right w:val="none" w:sz="0" w:space="0" w:color="auto"/>
          </w:divBdr>
        </w:div>
      </w:divsChild>
    </w:div>
    <w:div w:id="1227106177">
      <w:bodyDiv w:val="1"/>
      <w:marLeft w:val="0"/>
      <w:marRight w:val="0"/>
      <w:marTop w:val="0"/>
      <w:marBottom w:val="0"/>
      <w:divBdr>
        <w:top w:val="none" w:sz="0" w:space="0" w:color="auto"/>
        <w:left w:val="none" w:sz="0" w:space="0" w:color="auto"/>
        <w:bottom w:val="none" w:sz="0" w:space="0" w:color="auto"/>
        <w:right w:val="none" w:sz="0" w:space="0" w:color="auto"/>
      </w:divBdr>
    </w:div>
    <w:div w:id="1236554748">
      <w:bodyDiv w:val="1"/>
      <w:marLeft w:val="0"/>
      <w:marRight w:val="0"/>
      <w:marTop w:val="0"/>
      <w:marBottom w:val="0"/>
      <w:divBdr>
        <w:top w:val="none" w:sz="0" w:space="0" w:color="auto"/>
        <w:left w:val="none" w:sz="0" w:space="0" w:color="auto"/>
        <w:bottom w:val="none" w:sz="0" w:space="0" w:color="auto"/>
        <w:right w:val="none" w:sz="0" w:space="0" w:color="auto"/>
      </w:divBdr>
    </w:div>
    <w:div w:id="1264344342">
      <w:bodyDiv w:val="1"/>
      <w:marLeft w:val="0"/>
      <w:marRight w:val="0"/>
      <w:marTop w:val="0"/>
      <w:marBottom w:val="0"/>
      <w:divBdr>
        <w:top w:val="none" w:sz="0" w:space="0" w:color="auto"/>
        <w:left w:val="none" w:sz="0" w:space="0" w:color="auto"/>
        <w:bottom w:val="none" w:sz="0" w:space="0" w:color="auto"/>
        <w:right w:val="none" w:sz="0" w:space="0" w:color="auto"/>
      </w:divBdr>
    </w:div>
    <w:div w:id="1421216640">
      <w:bodyDiv w:val="1"/>
      <w:marLeft w:val="0"/>
      <w:marRight w:val="0"/>
      <w:marTop w:val="0"/>
      <w:marBottom w:val="0"/>
      <w:divBdr>
        <w:top w:val="none" w:sz="0" w:space="0" w:color="auto"/>
        <w:left w:val="none" w:sz="0" w:space="0" w:color="auto"/>
        <w:bottom w:val="none" w:sz="0" w:space="0" w:color="auto"/>
        <w:right w:val="none" w:sz="0" w:space="0" w:color="auto"/>
      </w:divBdr>
    </w:div>
    <w:div w:id="1490635816">
      <w:bodyDiv w:val="1"/>
      <w:marLeft w:val="0"/>
      <w:marRight w:val="0"/>
      <w:marTop w:val="0"/>
      <w:marBottom w:val="0"/>
      <w:divBdr>
        <w:top w:val="none" w:sz="0" w:space="0" w:color="auto"/>
        <w:left w:val="none" w:sz="0" w:space="0" w:color="auto"/>
        <w:bottom w:val="none" w:sz="0" w:space="0" w:color="auto"/>
        <w:right w:val="none" w:sz="0" w:space="0" w:color="auto"/>
      </w:divBdr>
    </w:div>
    <w:div w:id="1554656647">
      <w:bodyDiv w:val="1"/>
      <w:marLeft w:val="0"/>
      <w:marRight w:val="0"/>
      <w:marTop w:val="0"/>
      <w:marBottom w:val="0"/>
      <w:divBdr>
        <w:top w:val="none" w:sz="0" w:space="0" w:color="auto"/>
        <w:left w:val="none" w:sz="0" w:space="0" w:color="auto"/>
        <w:bottom w:val="none" w:sz="0" w:space="0" w:color="auto"/>
        <w:right w:val="none" w:sz="0" w:space="0" w:color="auto"/>
      </w:divBdr>
    </w:div>
    <w:div w:id="1631861718">
      <w:bodyDiv w:val="1"/>
      <w:marLeft w:val="0"/>
      <w:marRight w:val="0"/>
      <w:marTop w:val="0"/>
      <w:marBottom w:val="0"/>
      <w:divBdr>
        <w:top w:val="none" w:sz="0" w:space="0" w:color="auto"/>
        <w:left w:val="none" w:sz="0" w:space="0" w:color="auto"/>
        <w:bottom w:val="none" w:sz="0" w:space="0" w:color="auto"/>
        <w:right w:val="none" w:sz="0" w:space="0" w:color="auto"/>
      </w:divBdr>
    </w:div>
    <w:div w:id="1641886359">
      <w:bodyDiv w:val="1"/>
      <w:marLeft w:val="0"/>
      <w:marRight w:val="0"/>
      <w:marTop w:val="0"/>
      <w:marBottom w:val="0"/>
      <w:divBdr>
        <w:top w:val="none" w:sz="0" w:space="0" w:color="auto"/>
        <w:left w:val="none" w:sz="0" w:space="0" w:color="auto"/>
        <w:bottom w:val="none" w:sz="0" w:space="0" w:color="auto"/>
        <w:right w:val="none" w:sz="0" w:space="0" w:color="auto"/>
      </w:divBdr>
    </w:div>
    <w:div w:id="1704742000">
      <w:bodyDiv w:val="1"/>
      <w:marLeft w:val="0"/>
      <w:marRight w:val="0"/>
      <w:marTop w:val="0"/>
      <w:marBottom w:val="0"/>
      <w:divBdr>
        <w:top w:val="none" w:sz="0" w:space="0" w:color="auto"/>
        <w:left w:val="none" w:sz="0" w:space="0" w:color="auto"/>
        <w:bottom w:val="none" w:sz="0" w:space="0" w:color="auto"/>
        <w:right w:val="none" w:sz="0" w:space="0" w:color="auto"/>
      </w:divBdr>
    </w:div>
    <w:div w:id="1804075437">
      <w:bodyDiv w:val="1"/>
      <w:marLeft w:val="0"/>
      <w:marRight w:val="0"/>
      <w:marTop w:val="0"/>
      <w:marBottom w:val="0"/>
      <w:divBdr>
        <w:top w:val="none" w:sz="0" w:space="0" w:color="auto"/>
        <w:left w:val="none" w:sz="0" w:space="0" w:color="auto"/>
        <w:bottom w:val="none" w:sz="0" w:space="0" w:color="auto"/>
        <w:right w:val="none" w:sz="0" w:space="0" w:color="auto"/>
      </w:divBdr>
      <w:divsChild>
        <w:div w:id="963540649">
          <w:marLeft w:val="0"/>
          <w:marRight w:val="0"/>
          <w:marTop w:val="0"/>
          <w:marBottom w:val="0"/>
          <w:divBdr>
            <w:top w:val="none" w:sz="0" w:space="0" w:color="auto"/>
            <w:left w:val="none" w:sz="0" w:space="0" w:color="auto"/>
            <w:bottom w:val="none" w:sz="0" w:space="0" w:color="auto"/>
            <w:right w:val="none" w:sz="0" w:space="0" w:color="auto"/>
          </w:divBdr>
        </w:div>
      </w:divsChild>
    </w:div>
    <w:div w:id="20752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1A0212DA6FC0A1A41F22D0D00DEAE88B75C2822162CD0155FFD5EB79710A724EA75D1D607CF914S8j6H" TargetMode="External"/><Relationship Id="rId3" Type="http://schemas.openxmlformats.org/officeDocument/2006/relationships/settings" Target="settings.xml"/><Relationship Id="rId7" Type="http://schemas.openxmlformats.org/officeDocument/2006/relationships/hyperlink" Target="consultantplus://offline/ref=A394C1FDD1E60EE82666F6BADAAD15E21C1F2AA68F2FE562DEA7409C4DmAA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2FAE9CAAA0DF90BA9F9579006F0120EEE49448FB0C1F92518C936288E7DC5EE8221F6A022A48BCf6d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2023-09-20T08:32:00Z</dcterms:created>
  <dcterms:modified xsi:type="dcterms:W3CDTF">2023-09-20T08:32:00Z</dcterms:modified>
</cp:coreProperties>
</file>